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4CD0" w14:textId="77777777" w:rsidR="009F7B2D" w:rsidRDefault="009F7B2D" w:rsidP="002C13CB">
      <w:pPr>
        <w:ind w:left="1985"/>
      </w:pPr>
    </w:p>
    <w:p w14:paraId="1288A274" w14:textId="77777777" w:rsidR="009F7B2D" w:rsidRDefault="009F7B2D" w:rsidP="002C13CB">
      <w:pPr>
        <w:ind w:left="1985"/>
      </w:pPr>
      <w:r>
        <w:t>Séance extraordinaire</w:t>
      </w:r>
      <w:r>
        <w:t xml:space="preserve"> du Conseil municipal</w:t>
      </w:r>
      <w:r>
        <w:t xml:space="preserve"> de la Municipalité de Saint-</w:t>
      </w:r>
      <w:r>
        <w:t>Frédéric</w:t>
      </w:r>
      <w:r>
        <w:t xml:space="preserve">, tenue le 19 janvier 2026, à 19 h 30, </w:t>
      </w:r>
      <w:r>
        <w:t>à la salle du conseil</w:t>
      </w:r>
      <w:r>
        <w:t>, situé au 850, rue de l'hôtel de ville à Saint-Frédéric.</w:t>
      </w:r>
    </w:p>
    <w:p w14:paraId="1ECCFC48" w14:textId="77777777" w:rsidR="009F7B2D" w:rsidRDefault="009F7B2D" w:rsidP="002C13CB">
      <w:pPr>
        <w:ind w:left="1985"/>
      </w:pPr>
    </w:p>
    <w:p w14:paraId="38F71C37" w14:textId="77777777" w:rsidR="009F7B2D" w:rsidRDefault="009F7B2D" w:rsidP="002C13CB">
      <w:pPr>
        <w:ind w:left="1985"/>
      </w:pPr>
      <w:r>
        <w:t xml:space="preserve">Sont présents monsieur le président </w:t>
      </w:r>
      <w:r>
        <w:t xml:space="preserve">Jacques Berthiaume, </w:t>
      </w:r>
      <w:r>
        <w:t xml:space="preserve">les conseillères Johanne Giguère et Sylvie Couture ainsi que </w:t>
      </w:r>
      <w:r>
        <w:t>les conseillers Dany Gagné, Francis Paré, Harold Gilbert et Keven Lessard, tous forman</w:t>
      </w:r>
      <w:r>
        <w:t>t</w:t>
      </w:r>
      <w:r>
        <w:t>s</w:t>
      </w:r>
      <w:r>
        <w:t xml:space="preserve"> quorum sous la présidence de monsieur le président.</w:t>
      </w:r>
    </w:p>
    <w:p w14:paraId="7B023D73" w14:textId="77777777" w:rsidR="009F7B2D" w:rsidRDefault="009F7B2D" w:rsidP="002C13CB">
      <w:pPr>
        <w:ind w:left="1985"/>
      </w:pPr>
      <w:r>
        <w:t>Cathy Poulin fait fonction de secrétaire.</w:t>
      </w:r>
    </w:p>
    <w:p w14:paraId="1FFC4BF5" w14:textId="77777777" w:rsidR="009F7B2D" w:rsidRDefault="009F7B2D" w:rsidP="006641D8">
      <w:pPr>
        <w:tabs>
          <w:tab w:val="left" w:pos="1985"/>
          <w:tab w:val="left" w:pos="4395"/>
        </w:tabs>
        <w:ind w:left="1985" w:hanging="1985"/>
      </w:pPr>
    </w:p>
    <w:p w14:paraId="2CFAAE20" w14:textId="77777777" w:rsidR="009F7B2D" w:rsidRDefault="009F7B2D" w:rsidP="006641D8">
      <w:pPr>
        <w:tabs>
          <w:tab w:val="left" w:pos="1985"/>
          <w:tab w:val="left" w:pos="4395"/>
        </w:tabs>
        <w:ind w:left="1985" w:hanging="1985"/>
      </w:pPr>
    </w:p>
    <w:p w14:paraId="27F6DD57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  <w:r>
        <w:tab/>
      </w:r>
      <w:r w:rsidRPr="0061022C">
        <w:rPr>
          <w:b/>
          <w:u w:val="single"/>
        </w:rPr>
        <w:t>OUVERTURE DE L'ASSEMBLÉE</w:t>
      </w:r>
    </w:p>
    <w:p w14:paraId="449612AB" w14:textId="77777777" w:rsidR="009F7B2D" w:rsidRDefault="009F7B2D" w:rsidP="00BB4532">
      <w:pPr>
        <w:tabs>
          <w:tab w:val="left" w:pos="-7230"/>
          <w:tab w:val="left" w:pos="-7088"/>
          <w:tab w:val="left" w:pos="0"/>
          <w:tab w:val="left" w:pos="1985"/>
          <w:tab w:val="left" w:pos="4395"/>
          <w:tab w:val="right" w:pos="10065"/>
        </w:tabs>
        <w:ind w:left="1985" w:hanging="1985"/>
      </w:pPr>
    </w:p>
    <w:p w14:paraId="4C570F93" w14:textId="77777777" w:rsidR="00705363" w:rsidRDefault="009F7B2D">
      <w:pPr>
        <w:pStyle w:val="Normal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L'assemblée est ouverte.</w:t>
      </w:r>
    </w:p>
    <w:p w14:paraId="42FD51FE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0B3F6414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19EF0ED6" w14:textId="77777777" w:rsidR="009F7B2D" w:rsidRPr="003F2D76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  <w:rPr>
          <w:sz w:val="2"/>
          <w:szCs w:val="2"/>
        </w:rPr>
      </w:pPr>
    </w:p>
    <w:p w14:paraId="0318EABB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  <w:r w:rsidRPr="00F55E61">
        <w:rPr>
          <w:b/>
        </w:rPr>
        <w:t>2026-01-2153</w:t>
      </w:r>
      <w:r>
        <w:tab/>
      </w:r>
      <w:r w:rsidRPr="0061022C">
        <w:rPr>
          <w:b/>
          <w:u w:val="single"/>
        </w:rPr>
        <w:t>LECTURE ET ADOPTION DE L'ORDRE DU JOUR</w:t>
      </w:r>
    </w:p>
    <w:p w14:paraId="6DF1CA3E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6FE8A336" w14:textId="77777777" w:rsidR="009F7B2D" w:rsidRDefault="009F7B2D" w:rsidP="009A0134">
      <w:pPr>
        <w:tabs>
          <w:tab w:val="left" w:pos="-7230"/>
          <w:tab w:val="left" w:pos="1980"/>
          <w:tab w:val="left" w:pos="4395"/>
        </w:tabs>
        <w:ind w:left="1980" w:hanging="1980"/>
      </w:pPr>
      <w:r>
        <w:tab/>
      </w:r>
      <w:r>
        <w:t>I</w:t>
      </w:r>
      <w:r>
        <w:t>l est proposé par Francis Paré</w:t>
      </w:r>
      <w:r>
        <w:t xml:space="preserve"> et résolu :</w:t>
      </w:r>
    </w:p>
    <w:p w14:paraId="4ACA34BE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4A564D0A" w14:textId="77777777" w:rsidR="00705363" w:rsidRDefault="009F7B2D">
      <w:pPr>
        <w:pStyle w:val="Normal1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D'adopter l'ordre du jour.</w:t>
      </w:r>
    </w:p>
    <w:p w14:paraId="6BD667AD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1B543908" w14:textId="77777777" w:rsidR="009F7B2D" w:rsidRDefault="009F7B2D" w:rsidP="00D8290B">
      <w:pPr>
        <w:tabs>
          <w:tab w:val="left" w:pos="-7230"/>
          <w:tab w:val="left" w:pos="-7088"/>
          <w:tab w:val="left" w:pos="0"/>
          <w:tab w:val="left" w:pos="1985"/>
          <w:tab w:val="left" w:pos="3686"/>
          <w:tab w:val="right" w:pos="10065"/>
        </w:tabs>
        <w:ind w:left="1985" w:hanging="1985"/>
        <w:jc w:val="left"/>
      </w:pPr>
      <w:r>
        <w:tab/>
      </w:r>
      <w:r>
        <w:tab/>
      </w:r>
      <w:r>
        <w:t xml:space="preserve">Adopté à l'unanimité </w:t>
      </w:r>
      <w:r>
        <w:t>des conseillères et conseillers présents</w:t>
      </w:r>
      <w:r>
        <w:t>.</w:t>
      </w:r>
    </w:p>
    <w:p w14:paraId="091CB204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2CE5E938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0B30D1CE" w14:textId="77777777" w:rsidR="009F7B2D" w:rsidRPr="003F2D76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  <w:rPr>
          <w:sz w:val="2"/>
          <w:szCs w:val="2"/>
        </w:rPr>
      </w:pPr>
    </w:p>
    <w:p w14:paraId="6AED71BF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  <w:r w:rsidRPr="00F55E61">
        <w:rPr>
          <w:b/>
        </w:rPr>
        <w:t>2026-01-2154</w:t>
      </w:r>
      <w:r>
        <w:tab/>
      </w:r>
      <w:r w:rsidRPr="0061022C">
        <w:rPr>
          <w:b/>
          <w:u w:val="single"/>
        </w:rPr>
        <w:t>PRÉVISIONS BUDGÉTAIRES 2026</w:t>
      </w:r>
    </w:p>
    <w:p w14:paraId="3231A925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3632B48D" w14:textId="77777777" w:rsidR="009F7B2D" w:rsidRDefault="009F7B2D" w:rsidP="009A0134">
      <w:pPr>
        <w:tabs>
          <w:tab w:val="left" w:pos="-7230"/>
          <w:tab w:val="left" w:pos="1980"/>
          <w:tab w:val="left" w:pos="4395"/>
        </w:tabs>
        <w:ind w:left="1980" w:hanging="1980"/>
      </w:pPr>
      <w:r>
        <w:tab/>
      </w:r>
      <w:r>
        <w:t>I</w:t>
      </w:r>
      <w:r>
        <w:t>l est proposé par Dany Gagné</w:t>
      </w:r>
      <w:r>
        <w:t xml:space="preserve"> et résolu :</w:t>
      </w:r>
    </w:p>
    <w:p w14:paraId="52456355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4B00931D" w14:textId="77777777" w:rsidR="00705363" w:rsidRDefault="009F7B2D">
      <w:pPr>
        <w:pStyle w:val="Normal00"/>
        <w:spacing w:line="0" w:lineRule="atLeast"/>
        <w:ind w:left="19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 le conseil municipal adopte les prévisions budgétaires 2026 comme suit :</w:t>
      </w:r>
    </w:p>
    <w:p w14:paraId="70189434" w14:textId="77777777" w:rsidR="00705363" w:rsidRDefault="00705363">
      <w:pPr>
        <w:pStyle w:val="Normal00"/>
        <w:spacing w:line="0" w:lineRule="atLeast"/>
        <w:ind w:left="198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FA7278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REVENUS</w:t>
      </w:r>
    </w:p>
    <w:p w14:paraId="18064EDF" w14:textId="77777777" w:rsidR="00705363" w:rsidRDefault="00705363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12"/>
          <w:szCs w:val="24"/>
        </w:rPr>
      </w:pPr>
    </w:p>
    <w:p w14:paraId="450C7C6E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Taxes</w:t>
      </w:r>
      <w:r>
        <w:rPr>
          <w:rFonts w:eastAsia="Times New Roman" w:cs="Times New Roman"/>
          <w:sz w:val="24"/>
          <w:szCs w:val="24"/>
        </w:rPr>
        <w:tab/>
        <w:t xml:space="preserve">     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   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2 091 327$</w:t>
      </w:r>
    </w:p>
    <w:p w14:paraId="0B0E6361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Paiement tenant lieu de taxes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</w:t>
      </w:r>
      <w:r>
        <w:rPr>
          <w:rFonts w:eastAsia="Times New Roman" w:cs="Times New Roman"/>
          <w:sz w:val="24"/>
          <w:szCs w:val="24"/>
        </w:rPr>
        <w:tab/>
        <w:t xml:space="preserve">     36 500$</w:t>
      </w:r>
    </w:p>
    <w:p w14:paraId="4207246E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Transferts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423 815$</w:t>
      </w:r>
    </w:p>
    <w:p w14:paraId="270D5F89" w14:textId="7EA084DB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Services rendus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1C08EE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  30 300$</w:t>
      </w:r>
    </w:p>
    <w:p w14:paraId="4716E0DD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Imposition de droits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  35 000$</w:t>
      </w:r>
    </w:p>
    <w:p w14:paraId="53BD4CCF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Amendes et pénalités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</w:t>
      </w:r>
      <w:r>
        <w:rPr>
          <w:rFonts w:eastAsia="Times New Roman" w:cs="Times New Roman"/>
          <w:sz w:val="24"/>
          <w:szCs w:val="24"/>
        </w:rPr>
        <w:tab/>
        <w:t xml:space="preserve">       5 000$</w:t>
      </w:r>
    </w:p>
    <w:p w14:paraId="203888D4" w14:textId="6F15C95B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Intérêts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</w:t>
      </w:r>
      <w:r>
        <w:rPr>
          <w:rFonts w:eastAsia="Times New Roman" w:cs="Times New Roman"/>
          <w:sz w:val="24"/>
          <w:szCs w:val="24"/>
        </w:rPr>
        <w:tab/>
      </w:r>
      <w:r w:rsidR="001C08EE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 xml:space="preserve">     12 500$</w:t>
      </w:r>
    </w:p>
    <w:p w14:paraId="33E5E882" w14:textId="29A184AE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Autres revenus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</w:t>
      </w:r>
      <w:r w:rsidR="001C08EE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 xml:space="preserve">   </w:t>
      </w:r>
      <w:r w:rsidR="001C08EE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15 000$</w:t>
      </w:r>
    </w:p>
    <w:p w14:paraId="1615A59C" w14:textId="77777777" w:rsidR="00705363" w:rsidRDefault="00705363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12"/>
          <w:szCs w:val="24"/>
        </w:rPr>
      </w:pPr>
    </w:p>
    <w:p w14:paraId="577F181A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TOTAL DES REVENUS</w:t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</w:r>
      <w:r>
        <w:rPr>
          <w:rFonts w:eastAsia="Times New Roman" w:cs="Times New Roman"/>
          <w:b/>
          <w:sz w:val="24"/>
          <w:szCs w:val="24"/>
        </w:rPr>
        <w:tab/>
        <w:t xml:space="preserve">    </w:t>
      </w:r>
      <w:r>
        <w:rPr>
          <w:rFonts w:eastAsia="Times New Roman" w:cs="Times New Roman"/>
          <w:b/>
          <w:sz w:val="24"/>
          <w:szCs w:val="24"/>
        </w:rPr>
        <w:tab/>
        <w:t>2 649 442$</w:t>
      </w:r>
    </w:p>
    <w:p w14:paraId="41CC93C2" w14:textId="77777777" w:rsidR="00705363" w:rsidRDefault="00705363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</w:p>
    <w:p w14:paraId="604D4C0C" w14:textId="77777777" w:rsidR="00705363" w:rsidRDefault="00705363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</w:p>
    <w:p w14:paraId="106B48A5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DÉPENSES</w:t>
      </w:r>
    </w:p>
    <w:p w14:paraId="7ECEA513" w14:textId="77777777" w:rsidR="00705363" w:rsidRDefault="00705363">
      <w:pPr>
        <w:pStyle w:val="Normal000"/>
        <w:spacing w:line="0" w:lineRule="atLeast"/>
        <w:ind w:left="1980"/>
        <w:rPr>
          <w:rFonts w:eastAsia="Times New Roman" w:cs="Times New Roman"/>
          <w:b/>
          <w:color w:val="auto"/>
          <w:sz w:val="12"/>
          <w:szCs w:val="24"/>
        </w:rPr>
      </w:pPr>
    </w:p>
    <w:p w14:paraId="589FC083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Administration générale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530 840$</w:t>
      </w:r>
    </w:p>
    <w:p w14:paraId="03A9501D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Sécurité publique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218 520$</w:t>
      </w:r>
    </w:p>
    <w:p w14:paraId="117318F1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Transport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554 580$</w:t>
      </w:r>
    </w:p>
    <w:p w14:paraId="07909611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Hygiène du milieu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476 595$</w:t>
      </w:r>
    </w:p>
    <w:p w14:paraId="50D9CCB6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Santé et bien-être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</w:t>
      </w:r>
      <w:r>
        <w:rPr>
          <w:rFonts w:eastAsia="Times New Roman" w:cs="Times New Roman"/>
          <w:sz w:val="24"/>
          <w:szCs w:val="24"/>
        </w:rPr>
        <w:tab/>
        <w:t xml:space="preserve">     13 000$</w:t>
      </w:r>
    </w:p>
    <w:p w14:paraId="4E8F4758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Aménagement, urbanisme &amp; développement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  </w:t>
      </w:r>
      <w:r>
        <w:rPr>
          <w:rFonts w:eastAsia="Times New Roman" w:cs="Times New Roman"/>
          <w:sz w:val="24"/>
          <w:szCs w:val="24"/>
        </w:rPr>
        <w:tab/>
        <w:t xml:space="preserve">   </w:t>
      </w:r>
      <w:r>
        <w:rPr>
          <w:rFonts w:eastAsia="Times New Roman" w:cs="Times New Roman"/>
          <w:sz w:val="24"/>
          <w:szCs w:val="24"/>
        </w:rPr>
        <w:tab/>
        <w:t xml:space="preserve">   128 610$</w:t>
      </w:r>
    </w:p>
    <w:p w14:paraId="69B0E404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Loisirs et culture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307 724$</w:t>
      </w:r>
    </w:p>
    <w:p w14:paraId="4228609E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Frais de financement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108 000$</w:t>
      </w:r>
    </w:p>
    <w:p w14:paraId="220F6E35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Financement à long terme des activités de fonctionnement</w:t>
      </w:r>
      <w:r>
        <w:rPr>
          <w:rFonts w:eastAsia="Times New Roman" w:cs="Times New Roman"/>
          <w:sz w:val="24"/>
          <w:szCs w:val="24"/>
        </w:rPr>
        <w:tab/>
        <w:t xml:space="preserve">   </w:t>
      </w:r>
      <w:r>
        <w:rPr>
          <w:rFonts w:eastAsia="Times New Roman" w:cs="Times New Roman"/>
          <w:sz w:val="24"/>
          <w:szCs w:val="24"/>
        </w:rPr>
        <w:tab/>
        <w:t xml:space="preserve">     19 088$</w:t>
      </w:r>
    </w:p>
    <w:p w14:paraId="4503B4CE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Remboursement de la dette à long terme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214 485$</w:t>
      </w:r>
    </w:p>
    <w:p w14:paraId="3A3C1C9A" w14:textId="77777777" w:rsidR="00705363" w:rsidRDefault="009F7B2D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Excédent de fonctionnement affecté (réserves)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  78 000$</w:t>
      </w:r>
    </w:p>
    <w:p w14:paraId="2F220AA6" w14:textId="77777777" w:rsidR="00705363" w:rsidRDefault="00705363">
      <w:pPr>
        <w:pStyle w:val="Normal000"/>
        <w:spacing w:line="0" w:lineRule="atLeast"/>
        <w:ind w:left="1980"/>
        <w:rPr>
          <w:rFonts w:eastAsia="Times New Roman" w:cs="Times New Roman"/>
          <w:color w:val="auto"/>
          <w:sz w:val="12"/>
          <w:szCs w:val="24"/>
        </w:rPr>
      </w:pPr>
    </w:p>
    <w:p w14:paraId="47FF5FD1" w14:textId="77777777" w:rsidR="00705363" w:rsidRDefault="009F7B2D">
      <w:pPr>
        <w:pStyle w:val="Normal00"/>
        <w:spacing w:line="0" w:lineRule="atLeast"/>
        <w:ind w:left="1980"/>
        <w:jc w:val="both"/>
        <w:rPr>
          <w:rFonts w:eastAsia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TOTAL DES DÉPENSES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2 649 442$</w:t>
      </w:r>
    </w:p>
    <w:p w14:paraId="2B0BA2C7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78707B90" w14:textId="77777777" w:rsidR="009F7B2D" w:rsidRDefault="009F7B2D" w:rsidP="00D8290B">
      <w:pPr>
        <w:tabs>
          <w:tab w:val="left" w:pos="-7230"/>
          <w:tab w:val="left" w:pos="-7088"/>
          <w:tab w:val="left" w:pos="0"/>
          <w:tab w:val="left" w:pos="1985"/>
          <w:tab w:val="left" w:pos="3686"/>
          <w:tab w:val="right" w:pos="10065"/>
        </w:tabs>
        <w:ind w:left="1985" w:hanging="1985"/>
        <w:jc w:val="left"/>
      </w:pPr>
      <w:r>
        <w:tab/>
      </w:r>
      <w:r>
        <w:tab/>
      </w:r>
      <w:r>
        <w:t>Adopté à l'unanimité des conseillères et conseillers présents</w:t>
      </w:r>
      <w:r>
        <w:t>.</w:t>
      </w:r>
    </w:p>
    <w:p w14:paraId="79CAA50F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176C58E8" w14:textId="77777777" w:rsidR="001C08EE" w:rsidRDefault="001C08EE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6E2B1D8B" w14:textId="77777777" w:rsidR="009F7B2D" w:rsidRPr="003F2D76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  <w:rPr>
          <w:sz w:val="2"/>
          <w:szCs w:val="2"/>
        </w:rPr>
      </w:pPr>
    </w:p>
    <w:p w14:paraId="07194952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  <w:r w:rsidRPr="00F55E61">
        <w:rPr>
          <w:b/>
        </w:rPr>
        <w:t>2026-01-2155</w:t>
      </w:r>
      <w:r>
        <w:tab/>
      </w:r>
      <w:r w:rsidRPr="0061022C">
        <w:rPr>
          <w:b/>
          <w:u w:val="single"/>
        </w:rPr>
        <w:t>PLAN TRIENNAL D'IMMOBILISATION 2026-2027-2028</w:t>
      </w:r>
    </w:p>
    <w:p w14:paraId="701E90F3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5FABA307" w14:textId="77777777" w:rsidR="009F7B2D" w:rsidRDefault="009F7B2D" w:rsidP="009A0134">
      <w:pPr>
        <w:tabs>
          <w:tab w:val="left" w:pos="-7230"/>
          <w:tab w:val="left" w:pos="1980"/>
          <w:tab w:val="left" w:pos="4395"/>
        </w:tabs>
        <w:ind w:left="1980" w:hanging="1980"/>
      </w:pPr>
      <w:r>
        <w:tab/>
      </w:r>
      <w:r>
        <w:t>I</w:t>
      </w:r>
      <w:r>
        <w:t>l est proposé par Keven Lessard</w:t>
      </w:r>
      <w:r>
        <w:t xml:space="preserve"> et résolu :</w:t>
      </w:r>
    </w:p>
    <w:p w14:paraId="569A1AFC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710A0E69" w14:textId="77777777" w:rsidR="00705363" w:rsidRDefault="009F7B2D">
      <w:pPr>
        <w:pStyle w:val="Normal3"/>
        <w:spacing w:line="0" w:lineRule="atLeast"/>
        <w:ind w:left="1980"/>
        <w:jc w:val="both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QUE le conseil adopte le plan triennal d'immobilisation 2025-2026-2027 comme suit :</w:t>
      </w:r>
    </w:p>
    <w:p w14:paraId="29D7BC52" w14:textId="77777777" w:rsidR="00705363" w:rsidRDefault="00705363">
      <w:pPr>
        <w:pStyle w:val="Normal3"/>
        <w:spacing w:line="0" w:lineRule="atLeast"/>
        <w:ind w:left="1980"/>
        <w:jc w:val="both"/>
        <w:rPr>
          <w:rFonts w:eastAsia="Times New Roman" w:cs="Times New Roman"/>
          <w:color w:val="auto"/>
          <w:sz w:val="24"/>
          <w:szCs w:val="24"/>
        </w:rPr>
      </w:pPr>
    </w:p>
    <w:tbl>
      <w:tblPr>
        <w:tblW w:w="9214" w:type="dxa"/>
        <w:tblInd w:w="1433" w:type="dxa"/>
        <w:tblLook w:val="04A0" w:firstRow="1" w:lastRow="0" w:firstColumn="1" w:lastColumn="0" w:noHBand="0" w:noVBand="1"/>
      </w:tblPr>
      <w:tblGrid>
        <w:gridCol w:w="4678"/>
        <w:gridCol w:w="1559"/>
        <w:gridCol w:w="1559"/>
        <w:gridCol w:w="1418"/>
      </w:tblGrid>
      <w:tr w:rsidR="00705363" w14:paraId="0B510E6E" w14:textId="77777777" w:rsidTr="001C08EE">
        <w:trPr>
          <w:trHeight w:val="5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581A" w14:textId="77777777" w:rsidR="00705363" w:rsidRDefault="009F7B2D" w:rsidP="001C08EE">
            <w:pPr>
              <w:pStyle w:val="Normal3"/>
              <w:shd w:val="clear" w:color="auto" w:fill="BFBFBF"/>
              <w:spacing w:line="0" w:lineRule="atLeast"/>
              <w:ind w:left="273" w:hanging="142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Investissements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0ADC6" w14:textId="77777777" w:rsidR="00705363" w:rsidRDefault="009F7B2D">
            <w:pPr>
              <w:pStyle w:val="Normal3"/>
              <w:shd w:val="clear" w:color="auto" w:fill="BFBFBF"/>
              <w:spacing w:line="0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72D9D" w14:textId="77777777" w:rsidR="00705363" w:rsidRDefault="009F7B2D">
            <w:pPr>
              <w:pStyle w:val="Normal3"/>
              <w:shd w:val="clear" w:color="auto" w:fill="BFBFBF"/>
              <w:spacing w:line="0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DD213" w14:textId="77777777" w:rsidR="00705363" w:rsidRDefault="009F7B2D">
            <w:pPr>
              <w:pStyle w:val="Normal3"/>
              <w:shd w:val="clear" w:color="auto" w:fill="BFBFBF"/>
              <w:spacing w:line="0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2028</w:t>
            </w:r>
          </w:p>
        </w:tc>
      </w:tr>
      <w:tr w:rsidR="00705363" w14:paraId="165B26D3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A3382D" w14:textId="77777777" w:rsidR="00705363" w:rsidRPr="001C08EE" w:rsidRDefault="009F7B2D" w:rsidP="001C08EE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Achat matériel roulant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EE23F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A8B2B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 150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9A2E6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66E95C37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ED3B41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Projet aqueduc et égout Village-Marie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6F4D8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  <w:strike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BE034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 5 200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050DA6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31F4C0F7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838BB0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Pavage de la rue Labbé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2B362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F88546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  25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DC3FF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68AD830A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9B8778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Prolongement parc industriel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8C1DE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300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2208C4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B6F3A3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432654B8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F3C4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Ajout bornes incendie sur le réseau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C9DF1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   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3E411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    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913EE3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617DBCAD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CF0E9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Réfection iontérieur centre communautaire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02DADC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 50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92F6F3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1897A1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43B455CD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BC13B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Ameublement pour la bibliothèque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4E10C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 14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E76BD5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20784F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33958AFC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4C70E9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Réfection du Rang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9499E0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DFEA57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 5 000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DB56A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2AFFED73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01B978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Renouvellement conduite aqueduc Rang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4F4DA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A23B3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 700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C79084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1DB4791C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511EB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Caserne incendie (partie payable par Saint-Frédéric)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CD4699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165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1A60CE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00972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34307E0D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96DFE5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Ajout et/ou remplacement de lumières de rue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81AEC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 10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DBB8F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  10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A11F0A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10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705363" w14:paraId="225B50C1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609423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Enseigne Électronique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FCD44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9FA4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832CD1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50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705363" w14:paraId="27EE5A05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5B549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Amélioration parcs et terrains sportifs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787BB3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 25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E5520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  25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470F6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25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705363" w14:paraId="2BDDB74D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044AF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Pavage et bordure parc industriel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7E9BA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AE8406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0BB2F9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 500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705363" w14:paraId="633EFE5A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CDCB54" w14:textId="77777777" w:rsidR="00705363" w:rsidRDefault="009F7B2D">
            <w:pPr>
              <w:pStyle w:val="Normal3"/>
              <w:shd w:val="clear" w:color="auto" w:fill="BFBFBF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2"/>
                <w:szCs w:val="24"/>
                <w:shd w:val="clear" w:color="auto" w:fill="BFBFB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FE44DC" w14:textId="77777777" w:rsidR="00705363" w:rsidRDefault="009F7B2D">
            <w:pPr>
              <w:pStyle w:val="Normal3"/>
              <w:shd w:val="clear" w:color="auto" w:fill="BFBFBF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 xml:space="preserve">          569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000  $</w:t>
            </w:r>
            <w:proofErr w:type="gramEnd"/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A482C4" w14:textId="77777777" w:rsidR="00705363" w:rsidRDefault="009F7B2D">
            <w:pPr>
              <w:pStyle w:val="Normal3"/>
              <w:shd w:val="clear" w:color="auto" w:fill="BFBFBF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 xml:space="preserve">     11 115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000  $</w:t>
            </w:r>
            <w:proofErr w:type="gramEnd"/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3960AE" w14:textId="77777777" w:rsidR="00705363" w:rsidRDefault="009F7B2D">
            <w:pPr>
              <w:pStyle w:val="Normal3"/>
              <w:shd w:val="clear" w:color="auto" w:fill="BFBFBF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 xml:space="preserve">        585 </w:t>
            </w:r>
            <w:proofErr w:type="gramStart"/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000  $</w:t>
            </w:r>
            <w:proofErr w:type="gramEnd"/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 xml:space="preserve"> </w:t>
            </w:r>
          </w:p>
        </w:tc>
      </w:tr>
      <w:tr w:rsidR="00705363" w14:paraId="29D69E25" w14:textId="77777777" w:rsidTr="001C08EE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0A861" w14:textId="77777777" w:rsidR="00705363" w:rsidRDefault="00705363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383102" w14:textId="77777777" w:rsidR="00705363" w:rsidRDefault="00705363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BCF42A" w14:textId="77777777" w:rsidR="00705363" w:rsidRDefault="00705363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FE951" w14:textId="77777777" w:rsidR="00705363" w:rsidRDefault="00705363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</w:tr>
      <w:tr w:rsidR="00705363" w14:paraId="3879BE1B" w14:textId="77777777" w:rsidTr="001C08EE">
        <w:trPr>
          <w:trHeight w:val="57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DC37D" w14:textId="77777777" w:rsidR="00705363" w:rsidRDefault="009F7B2D">
            <w:pPr>
              <w:pStyle w:val="Normal3"/>
              <w:shd w:val="clear" w:color="auto" w:fill="BFBFBF"/>
              <w:spacing w:line="0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Sources de financement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16847" w14:textId="77777777" w:rsidR="00705363" w:rsidRDefault="009F7B2D">
            <w:pPr>
              <w:pStyle w:val="Normal3"/>
              <w:shd w:val="clear" w:color="auto" w:fill="BFBFBF"/>
              <w:spacing w:line="0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A4BC8" w14:textId="77777777" w:rsidR="00705363" w:rsidRDefault="009F7B2D">
            <w:pPr>
              <w:pStyle w:val="Normal3"/>
              <w:shd w:val="clear" w:color="auto" w:fill="BFBFBF"/>
              <w:spacing w:line="0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9DEEC" w14:textId="77777777" w:rsidR="00705363" w:rsidRDefault="009F7B2D">
            <w:pPr>
              <w:pStyle w:val="Normal3"/>
              <w:shd w:val="clear" w:color="auto" w:fill="BFBFBF"/>
              <w:spacing w:line="0" w:lineRule="atLeast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>2028</w:t>
            </w:r>
          </w:p>
        </w:tc>
      </w:tr>
      <w:tr w:rsidR="00705363" w:rsidRPr="001C08EE" w14:paraId="3E8E73A4" w14:textId="77777777" w:rsidTr="001C08EE">
        <w:trPr>
          <w:trHeight w:val="39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7ED865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Surplus non affecté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406937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147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14A9B" w14:textId="77777777" w:rsidR="00705363" w:rsidRPr="001C08EE" w:rsidRDefault="009F7B2D">
            <w:pPr>
              <w:pStyle w:val="Normal3"/>
              <w:spacing w:line="0" w:lineRule="atLeast"/>
              <w:jc w:val="center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7FE2A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:rsidRPr="001C08EE" w14:paraId="2DA9AC60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F72102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Réserve financière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A400B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79247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  80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F3950B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50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705363" w:rsidRPr="001C08EE" w14:paraId="6A810274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6AF7F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Budget de fonctionnement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C7860F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115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6ECF01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  40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084662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35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705363" w:rsidRPr="001C08EE" w14:paraId="1EFE6FDE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4808B5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Emprunt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830F86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 300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F7669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 1 325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287433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 500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705363" w:rsidRPr="001C08EE" w14:paraId="2AFD272A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1658F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Subvention PRIMEAU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0A45F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8EAEC5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 4 160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D3A8B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:rsidRPr="001C08EE" w14:paraId="74390A3B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D43B31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Subvention PAVL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FA4D7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37E01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 4 000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55EB84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:rsidRPr="001C08EE" w14:paraId="0A05BEC4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A6D1F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Subvention TECQ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49297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9511C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 700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9A1EC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:rsidRPr="001C08EE" w14:paraId="5A7DA072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742B7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Subvention ministère de la Culture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51C6D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    7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0360B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649E5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:rsidRPr="001C08EE" w14:paraId="4B576FDF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810F7B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Taxe de secteur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3BA1E6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BEC195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 xml:space="preserve">           810 </w:t>
            </w:r>
            <w:proofErr w:type="gramStart"/>
            <w:r w:rsidRPr="001C08EE">
              <w:rPr>
                <w:rFonts w:ascii="Calibri" w:eastAsia="Times New Roman" w:hAnsi="Calibri" w:cs="Times New Roman"/>
              </w:rPr>
              <w:t>000  $</w:t>
            </w:r>
            <w:proofErr w:type="gramEnd"/>
            <w:r w:rsidRPr="001C08E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15407A" w14:textId="77777777" w:rsidR="00705363" w:rsidRPr="001C08EE" w:rsidRDefault="009F7B2D">
            <w:pPr>
              <w:pStyle w:val="Normal3"/>
              <w:spacing w:line="0" w:lineRule="atLeast"/>
              <w:rPr>
                <w:rFonts w:eastAsia="Times New Roman" w:cs="Times New Roman"/>
                <w:color w:val="auto"/>
              </w:rPr>
            </w:pPr>
            <w:r w:rsidRPr="001C08EE">
              <w:rPr>
                <w:rFonts w:ascii="Calibri" w:eastAsia="Times New Roman" w:hAnsi="Calibri" w:cs="Times New Roman"/>
              </w:rPr>
              <w:t> </w:t>
            </w:r>
          </w:p>
        </w:tc>
      </w:tr>
      <w:tr w:rsidR="00705363" w14:paraId="151E475D" w14:textId="77777777" w:rsidTr="001C08EE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B990C" w14:textId="77777777" w:rsidR="00705363" w:rsidRDefault="009F7B2D">
            <w:pPr>
              <w:pStyle w:val="Normal3"/>
              <w:shd w:val="clear" w:color="auto" w:fill="BFBFBF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2"/>
                <w:szCs w:val="24"/>
                <w:shd w:val="clear" w:color="auto" w:fill="BFBFBF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DB55CC" w14:textId="77777777" w:rsidR="00705363" w:rsidRDefault="009F7B2D">
            <w:pPr>
              <w:pStyle w:val="Normal3"/>
              <w:shd w:val="clear" w:color="auto" w:fill="BFBFBF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 xml:space="preserve">          569 000  $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775771" w14:textId="77777777" w:rsidR="00705363" w:rsidRDefault="009F7B2D">
            <w:pPr>
              <w:pStyle w:val="Normal3"/>
              <w:shd w:val="clear" w:color="auto" w:fill="BFBFBF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 xml:space="preserve">     11 115 000  $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245D8" w14:textId="77777777" w:rsidR="00705363" w:rsidRDefault="009F7B2D">
            <w:pPr>
              <w:pStyle w:val="Normal3"/>
              <w:shd w:val="clear" w:color="auto" w:fill="BFBFBF"/>
              <w:spacing w:line="0" w:lineRule="atLeast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4"/>
                <w:shd w:val="clear" w:color="auto" w:fill="BFBFBF"/>
              </w:rPr>
              <w:t xml:space="preserve">        585 000  $ </w:t>
            </w:r>
          </w:p>
        </w:tc>
      </w:tr>
    </w:tbl>
    <w:p w14:paraId="45A470BC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5085ADBE" w14:textId="77777777" w:rsidR="009F7B2D" w:rsidRDefault="009F7B2D" w:rsidP="00D8290B">
      <w:pPr>
        <w:tabs>
          <w:tab w:val="left" w:pos="-7230"/>
          <w:tab w:val="left" w:pos="-7088"/>
          <w:tab w:val="left" w:pos="0"/>
          <w:tab w:val="left" w:pos="1985"/>
          <w:tab w:val="left" w:pos="3686"/>
          <w:tab w:val="right" w:pos="10065"/>
        </w:tabs>
        <w:ind w:left="1985" w:hanging="1985"/>
        <w:jc w:val="left"/>
      </w:pPr>
      <w:r>
        <w:tab/>
      </w:r>
      <w:r>
        <w:tab/>
      </w:r>
      <w:r>
        <w:t xml:space="preserve">Adopté à l'unanimité </w:t>
      </w:r>
      <w:r>
        <w:t>des conseillères et conseillers présents</w:t>
      </w:r>
      <w:r>
        <w:t>.</w:t>
      </w:r>
    </w:p>
    <w:p w14:paraId="33673CDF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0F29C204" w14:textId="77777777" w:rsidR="001C08EE" w:rsidRDefault="001C08EE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6261A95B" w14:textId="77777777" w:rsidR="001C08EE" w:rsidRDefault="001C08EE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53A2EF77" w14:textId="4A0878C7" w:rsidR="001C08EE" w:rsidRDefault="001C08EE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1A97119A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308B0B93" w14:textId="77777777" w:rsidR="009F7B2D" w:rsidRPr="003F2D76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  <w:rPr>
          <w:sz w:val="2"/>
          <w:szCs w:val="2"/>
        </w:rPr>
      </w:pPr>
    </w:p>
    <w:p w14:paraId="3B15FE78" w14:textId="77777777" w:rsidR="001C08EE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  <w:r>
        <w:tab/>
      </w:r>
    </w:p>
    <w:p w14:paraId="6147DCF1" w14:textId="7D80D15A" w:rsidR="009F7B2D" w:rsidRDefault="001C08EE" w:rsidP="006641D8">
      <w:pPr>
        <w:tabs>
          <w:tab w:val="left" w:pos="-7230"/>
          <w:tab w:val="left" w:pos="1985"/>
          <w:tab w:val="left" w:pos="4395"/>
        </w:tabs>
        <w:ind w:left="1985" w:hanging="1985"/>
      </w:pPr>
      <w:r w:rsidRPr="00846F1E">
        <w:rPr>
          <w:sz w:val="20"/>
          <w:szCs w:val="20"/>
        </w:rPr>
        <w:lastRenderedPageBreak/>
        <w:t>AVIS DE MOTION</w:t>
      </w:r>
      <w:r>
        <w:tab/>
      </w:r>
      <w:r w:rsidR="009F7B2D" w:rsidRPr="0061022C">
        <w:rPr>
          <w:b/>
          <w:u w:val="single"/>
        </w:rPr>
        <w:t>AVIS DE MOTION ET PROJET DE RÈGLEMENT 415-26 DÉCRÉTANT L'IMPOSITION DES TAXES FONCIÈRES ET DE LA TARIFICATION DES SERVICES POUR L'ANNÉE 2026</w:t>
      </w:r>
    </w:p>
    <w:p w14:paraId="1CF401E3" w14:textId="77777777" w:rsidR="009F7B2D" w:rsidRDefault="009F7B2D" w:rsidP="00BB4532">
      <w:pPr>
        <w:tabs>
          <w:tab w:val="left" w:pos="-7230"/>
          <w:tab w:val="left" w:pos="-7088"/>
          <w:tab w:val="left" w:pos="0"/>
          <w:tab w:val="left" w:pos="1985"/>
          <w:tab w:val="left" w:pos="4395"/>
          <w:tab w:val="right" w:pos="10065"/>
        </w:tabs>
        <w:ind w:left="1985" w:hanging="1985"/>
      </w:pPr>
    </w:p>
    <w:p w14:paraId="57F9305D" w14:textId="77777777" w:rsidR="00705363" w:rsidRDefault="009F7B2D">
      <w:pPr>
        <w:pStyle w:val="Normal4"/>
        <w:spacing w:line="0" w:lineRule="atLeast"/>
        <w:ind w:left="1980"/>
        <w:jc w:val="both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Monsieur Harold Gilbert, conseiller, par la présente :</w:t>
      </w:r>
    </w:p>
    <w:p w14:paraId="0DC143E5" w14:textId="77777777" w:rsidR="00705363" w:rsidRDefault="00705363">
      <w:pPr>
        <w:pStyle w:val="Normal4"/>
        <w:spacing w:line="0" w:lineRule="atLeast"/>
        <w:ind w:left="1980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4A564F14" w14:textId="77777777" w:rsidR="00705363" w:rsidRDefault="009F7B2D">
      <w:pPr>
        <w:pStyle w:val="Normal4"/>
        <w:numPr>
          <w:ilvl w:val="0"/>
          <w:numId w:val="2"/>
        </w:numPr>
        <w:spacing w:line="0" w:lineRule="atLeast"/>
        <w:ind w:left="2700"/>
        <w:jc w:val="both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donne avis de motion, qu'il sera adopté, à une séance subséquente, le règlement 415-26 décrétant l'imposition des taxes foncières et la tarification des services pour l'année 2026;</w:t>
      </w:r>
    </w:p>
    <w:p w14:paraId="6C249684" w14:textId="77777777" w:rsidR="00705363" w:rsidRDefault="00705363">
      <w:pPr>
        <w:pStyle w:val="Normal4"/>
        <w:spacing w:line="0" w:lineRule="atLeast"/>
        <w:ind w:left="1980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52AF4781" w14:textId="77777777" w:rsidR="00705363" w:rsidRDefault="009F7B2D">
      <w:pPr>
        <w:pStyle w:val="Normal4"/>
        <w:numPr>
          <w:ilvl w:val="0"/>
          <w:numId w:val="2"/>
        </w:numPr>
        <w:spacing w:line="0" w:lineRule="atLeast"/>
        <w:ind w:left="2700"/>
        <w:jc w:val="both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dépose le projet de règlement numéro 415-26.</w:t>
      </w:r>
    </w:p>
    <w:p w14:paraId="2956FBF4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090C7C30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3F04E7EC" w14:textId="77777777" w:rsidR="009F7B2D" w:rsidRPr="003F2D76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  <w:rPr>
          <w:sz w:val="2"/>
          <w:szCs w:val="2"/>
        </w:rPr>
      </w:pPr>
    </w:p>
    <w:p w14:paraId="3A422233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  <w:r>
        <w:tab/>
      </w:r>
      <w:r w:rsidRPr="0061022C">
        <w:rPr>
          <w:b/>
          <w:u w:val="single"/>
        </w:rPr>
        <w:t>PÉRIODE DE QUESTIONS</w:t>
      </w:r>
    </w:p>
    <w:p w14:paraId="1626D3B9" w14:textId="77777777" w:rsidR="009F7B2D" w:rsidRDefault="009F7B2D" w:rsidP="00BB4532">
      <w:pPr>
        <w:tabs>
          <w:tab w:val="left" w:pos="-7230"/>
          <w:tab w:val="left" w:pos="-7088"/>
          <w:tab w:val="left" w:pos="0"/>
          <w:tab w:val="left" w:pos="1985"/>
          <w:tab w:val="left" w:pos="4395"/>
          <w:tab w:val="right" w:pos="10065"/>
        </w:tabs>
        <w:ind w:left="1985" w:hanging="1985"/>
      </w:pPr>
    </w:p>
    <w:p w14:paraId="6A9527D6" w14:textId="77777777" w:rsidR="00705363" w:rsidRDefault="009F7B2D">
      <w:pPr>
        <w:pStyle w:val="Normal20"/>
        <w:spacing w:line="0" w:lineRule="atLeast"/>
        <w:ind w:left="1980"/>
        <w:jc w:val="both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Une période de questions a été réservée pour le public. Seules les questions demandant des délibérations seront retenues aux fins du procès-verbal.</w:t>
      </w:r>
    </w:p>
    <w:p w14:paraId="77262F74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0EF778DE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46E49CB6" w14:textId="77777777" w:rsidR="009F7B2D" w:rsidRPr="003F2D76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  <w:rPr>
          <w:sz w:val="2"/>
          <w:szCs w:val="2"/>
        </w:rPr>
      </w:pPr>
    </w:p>
    <w:p w14:paraId="4B5CD792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  <w:r w:rsidRPr="00F55E61">
        <w:rPr>
          <w:b/>
        </w:rPr>
        <w:t>2026-01-2156</w:t>
      </w:r>
      <w:r>
        <w:tab/>
      </w:r>
      <w:r w:rsidRPr="0061022C">
        <w:rPr>
          <w:b/>
          <w:u w:val="single"/>
        </w:rPr>
        <w:t>LEVÉE DE L'ASSEMBLÉE</w:t>
      </w:r>
    </w:p>
    <w:p w14:paraId="43C6D3A1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3DB1AE4A" w14:textId="77777777" w:rsidR="009F7B2D" w:rsidRDefault="009F7B2D" w:rsidP="009A0134">
      <w:pPr>
        <w:tabs>
          <w:tab w:val="left" w:pos="-7230"/>
          <w:tab w:val="left" w:pos="1980"/>
          <w:tab w:val="left" w:pos="4395"/>
        </w:tabs>
        <w:ind w:left="1980" w:hanging="1980"/>
      </w:pPr>
      <w:r>
        <w:tab/>
      </w:r>
      <w:r>
        <w:t>I</w:t>
      </w:r>
      <w:r>
        <w:t>l est proposé par Johanne Giguère</w:t>
      </w:r>
      <w:r>
        <w:t xml:space="preserve"> et résolu :</w:t>
      </w:r>
    </w:p>
    <w:p w14:paraId="64782ED0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71A8CAE9" w14:textId="77777777" w:rsidR="00705363" w:rsidRDefault="009F7B2D">
      <w:pPr>
        <w:pStyle w:val="Normal6"/>
        <w:spacing w:line="0" w:lineRule="atLeast"/>
        <w:ind w:left="1980"/>
        <w:rPr>
          <w:rFonts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De lever l'assemblée à 19h45.</w:t>
      </w:r>
    </w:p>
    <w:p w14:paraId="737D3551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25735B30" w14:textId="77777777" w:rsidR="009F7B2D" w:rsidRDefault="009F7B2D" w:rsidP="00D8290B">
      <w:pPr>
        <w:tabs>
          <w:tab w:val="left" w:pos="-7230"/>
          <w:tab w:val="left" w:pos="-7088"/>
          <w:tab w:val="left" w:pos="0"/>
          <w:tab w:val="left" w:pos="1985"/>
          <w:tab w:val="left" w:pos="3686"/>
          <w:tab w:val="right" w:pos="10065"/>
        </w:tabs>
        <w:ind w:left="1985" w:hanging="1985"/>
        <w:jc w:val="left"/>
      </w:pPr>
      <w:r>
        <w:tab/>
      </w:r>
      <w:r>
        <w:tab/>
      </w:r>
      <w:r>
        <w:t>Adopté à l'unanimité des conseillères et conseillers présents</w:t>
      </w:r>
      <w:r>
        <w:t>.</w:t>
      </w:r>
    </w:p>
    <w:p w14:paraId="557E1687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61332DEE" w14:textId="77777777" w:rsidR="009F7B2D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</w:pPr>
    </w:p>
    <w:p w14:paraId="0375EB17" w14:textId="77777777" w:rsidR="009F7B2D" w:rsidRPr="003F2D76" w:rsidRDefault="009F7B2D" w:rsidP="006641D8">
      <w:pPr>
        <w:tabs>
          <w:tab w:val="left" w:pos="-7230"/>
          <w:tab w:val="left" w:pos="1985"/>
          <w:tab w:val="left" w:pos="4395"/>
        </w:tabs>
        <w:ind w:left="1985" w:hanging="1985"/>
        <w:rPr>
          <w:sz w:val="2"/>
          <w:szCs w:val="2"/>
        </w:rPr>
      </w:pPr>
    </w:p>
    <w:p w14:paraId="5DC88CD9" w14:textId="77777777" w:rsidR="009F7B2D" w:rsidRDefault="009F7B2D" w:rsidP="00737A13">
      <w:pPr>
        <w:tabs>
          <w:tab w:val="left" w:pos="-7230"/>
        </w:tabs>
      </w:pPr>
    </w:p>
    <w:p w14:paraId="71D04336" w14:textId="77777777" w:rsidR="009F7B2D" w:rsidRDefault="009F7B2D" w:rsidP="00737A13">
      <w:pPr>
        <w:tabs>
          <w:tab w:val="left" w:pos="-7230"/>
        </w:tabs>
      </w:pPr>
    </w:p>
    <w:p w14:paraId="5DAF5B69" w14:textId="77777777" w:rsidR="009F7B2D" w:rsidRDefault="009F7B2D" w:rsidP="008F0466">
      <w:pPr>
        <w:tabs>
          <w:tab w:val="left" w:pos="-7230"/>
        </w:tabs>
        <w:ind w:left="1985"/>
      </w:pPr>
    </w:p>
    <w:tbl>
      <w:tblPr>
        <w:tblStyle w:val="Grilledutableau"/>
        <w:tblW w:w="4394" w:type="dxa"/>
        <w:tblInd w:w="59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394"/>
      </w:tblGrid>
      <w:tr w:rsidR="00705363" w14:paraId="120F5130" w14:textId="77777777" w:rsidTr="00692B1C">
        <w:tc>
          <w:tcPr>
            <w:tcW w:w="4394" w:type="dxa"/>
            <w:vAlign w:val="bottom"/>
          </w:tcPr>
          <w:p w14:paraId="2B52C175" w14:textId="77777777" w:rsidR="009F7B2D" w:rsidRDefault="009F7B2D" w:rsidP="00692B1C">
            <w:pPr>
              <w:tabs>
                <w:tab w:val="left" w:pos="-7230"/>
                <w:tab w:val="left" w:pos="5954"/>
              </w:tabs>
            </w:pPr>
            <w:r>
              <w:t>__________________________________</w:t>
            </w:r>
          </w:p>
          <w:p w14:paraId="20D47814" w14:textId="77777777" w:rsidR="009F7B2D" w:rsidRPr="00796D1C" w:rsidRDefault="009F7B2D" w:rsidP="00692B1C">
            <w:pPr>
              <w:tabs>
                <w:tab w:val="left" w:pos="-7230"/>
                <w:tab w:val="left" w:pos="5954"/>
              </w:tabs>
              <w:rPr>
                <w:szCs w:val="24"/>
              </w:rPr>
            </w:pPr>
            <w:r w:rsidRPr="00796D1C">
              <w:rPr>
                <w:szCs w:val="24"/>
              </w:rPr>
              <w:t>Président</w:t>
            </w:r>
          </w:p>
        </w:tc>
      </w:tr>
    </w:tbl>
    <w:p w14:paraId="70AA6192" w14:textId="77777777" w:rsidR="009F7B2D" w:rsidRDefault="009F7B2D" w:rsidP="008F0466">
      <w:pPr>
        <w:tabs>
          <w:tab w:val="left" w:pos="-7230"/>
          <w:tab w:val="left" w:pos="5954"/>
        </w:tabs>
        <w:ind w:left="1985"/>
      </w:pPr>
    </w:p>
    <w:p w14:paraId="536E14A6" w14:textId="77777777" w:rsidR="009F7B2D" w:rsidRDefault="009F7B2D" w:rsidP="008F0466">
      <w:pPr>
        <w:tabs>
          <w:tab w:val="left" w:pos="-7230"/>
          <w:tab w:val="left" w:pos="5954"/>
        </w:tabs>
        <w:ind w:left="1985"/>
      </w:pPr>
    </w:p>
    <w:tbl>
      <w:tblPr>
        <w:tblStyle w:val="Grilledutableau"/>
        <w:tblW w:w="4395" w:type="dxa"/>
        <w:tblInd w:w="59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6"/>
      </w:tblGrid>
      <w:tr w:rsidR="00705363" w14:paraId="1C2C92C0" w14:textId="77777777" w:rsidTr="00692B1C">
        <w:tc>
          <w:tcPr>
            <w:tcW w:w="4395" w:type="dxa"/>
            <w:vAlign w:val="bottom"/>
          </w:tcPr>
          <w:p w14:paraId="411B12D3" w14:textId="77777777" w:rsidR="009F7B2D" w:rsidRDefault="009F7B2D" w:rsidP="00692B1C">
            <w:pPr>
              <w:tabs>
                <w:tab w:val="left" w:pos="-7230"/>
                <w:tab w:val="left" w:pos="5954"/>
              </w:tabs>
              <w:jc w:val="left"/>
            </w:pPr>
            <w:r>
              <w:t>____________________________________</w:t>
            </w:r>
          </w:p>
          <w:p w14:paraId="46ADFF6B" w14:textId="77777777" w:rsidR="009F7B2D" w:rsidRPr="00796D1C" w:rsidRDefault="009F7B2D" w:rsidP="00692B1C">
            <w:pPr>
              <w:tabs>
                <w:tab w:val="left" w:pos="-7230"/>
              </w:tabs>
              <w:jc w:val="left"/>
              <w:rPr>
                <w:szCs w:val="24"/>
              </w:rPr>
            </w:pPr>
            <w:r w:rsidRPr="00796D1C">
              <w:rPr>
                <w:szCs w:val="24"/>
              </w:rPr>
              <w:t>Directrice générale</w:t>
            </w:r>
          </w:p>
        </w:tc>
      </w:tr>
    </w:tbl>
    <w:p w14:paraId="75069249" w14:textId="77777777" w:rsidR="009F7B2D" w:rsidRDefault="009F7B2D" w:rsidP="0070541F">
      <w:pPr>
        <w:tabs>
          <w:tab w:val="left" w:pos="-7230"/>
        </w:tabs>
        <w:ind w:left="1985"/>
      </w:pPr>
    </w:p>
    <w:sectPr w:rsidR="002C13CB" w:rsidSect="00D50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1" w:right="677" w:bottom="1440" w:left="1138" w:header="706" w:footer="706" w:gutter="6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AF52" w14:textId="77777777" w:rsidR="009F7B2D" w:rsidRDefault="009F7B2D">
      <w:r>
        <w:separator/>
      </w:r>
    </w:p>
  </w:endnote>
  <w:endnote w:type="continuationSeparator" w:id="0">
    <w:p w14:paraId="470B6992" w14:textId="77777777" w:rsidR="009F7B2D" w:rsidRDefault="009F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A48D" w14:textId="77777777" w:rsidR="009F7B2D" w:rsidRDefault="009F7B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C6FF" w14:textId="77777777" w:rsidR="009F7B2D" w:rsidRDefault="009F7B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152A" w14:textId="77777777" w:rsidR="009F7B2D" w:rsidRDefault="009F7B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8B83" w14:textId="77777777" w:rsidR="009F7B2D" w:rsidRDefault="009F7B2D">
      <w:r>
        <w:separator/>
      </w:r>
    </w:p>
  </w:footnote>
  <w:footnote w:type="continuationSeparator" w:id="0">
    <w:p w14:paraId="60414A1B" w14:textId="77777777" w:rsidR="009F7B2D" w:rsidRDefault="009F7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9C771" w14:textId="77777777" w:rsidR="009F7B2D" w:rsidRDefault="009F7B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E89F" w14:textId="77777777" w:rsidR="009F7B2D" w:rsidRDefault="009F7B2D">
    <w:pPr>
      <w:pStyle w:val="En-tte"/>
    </w:pPr>
  </w:p>
  <w:p w14:paraId="40DBC858" w14:textId="77777777" w:rsidR="009F7B2D" w:rsidRDefault="009F7B2D">
    <w:pPr>
      <w:pStyle w:val="En-tte"/>
    </w:pPr>
  </w:p>
  <w:p w14:paraId="4AA1B4BB" w14:textId="77777777" w:rsidR="009F7B2D" w:rsidRDefault="009F7B2D" w:rsidP="00433A3A">
    <w:pPr>
      <w:pStyle w:val="En-tte"/>
      <w:tabs>
        <w:tab w:val="clear" w:pos="4320"/>
        <w:tab w:val="clear" w:pos="8640"/>
        <w:tab w:val="left" w:pos="1035"/>
      </w:tabs>
    </w:pPr>
  </w:p>
  <w:p w14:paraId="389F3ED4" w14:textId="77777777" w:rsidR="009F7B2D" w:rsidRDefault="009F7B2D" w:rsidP="00433A3A">
    <w:pPr>
      <w:pStyle w:val="En-tte"/>
      <w:tabs>
        <w:tab w:val="clear" w:pos="4320"/>
        <w:tab w:val="clear" w:pos="8640"/>
        <w:tab w:val="left" w:pos="10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FC63" w14:textId="77777777" w:rsidR="009F7B2D" w:rsidRDefault="009F7B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1CAD"/>
    <w:multiLevelType w:val="multilevel"/>
    <w:tmpl w:val="6D409DD8"/>
    <w:styleLink w:val="Style5"/>
    <w:lvl w:ilvl="0">
      <w:start w:val="1"/>
      <w:numFmt w:val="decimalZero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.%2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B1C1CAE"/>
    <w:multiLevelType w:val="hybridMultilevel"/>
    <w:tmpl w:val="FFFFFFFF"/>
    <w:lvl w:ilvl="0" w:tplc="FF46D1E4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000000"/>
      </w:rPr>
    </w:lvl>
    <w:lvl w:ilvl="1" w:tplc="C3CC2520">
      <w:start w:val="1"/>
      <w:numFmt w:val="bullet"/>
      <w:lvlText w:val="o"/>
      <w:lvlJc w:val="left"/>
      <w:pPr>
        <w:ind w:left="1440" w:hanging="360"/>
      </w:pPr>
      <w:rPr>
        <w:rFonts w:ascii="Symbol" w:hAnsi="Symbol"/>
        <w:color w:val="000000"/>
      </w:rPr>
    </w:lvl>
    <w:lvl w:ilvl="2" w:tplc="86980B9C">
      <w:start w:val="1"/>
      <w:numFmt w:val="bullet"/>
      <w:lvlText w:val="·"/>
      <w:lvlJc w:val="left"/>
      <w:pPr>
        <w:ind w:left="2160" w:hanging="360"/>
      </w:pPr>
      <w:rPr>
        <w:rFonts w:ascii="Symbol" w:hAnsi="Symbol"/>
        <w:color w:val="000000"/>
      </w:rPr>
    </w:lvl>
    <w:lvl w:ilvl="3" w:tplc="CE96FED6">
      <w:start w:val="1"/>
      <w:numFmt w:val="bullet"/>
      <w:lvlText w:val="o"/>
      <w:lvlJc w:val="left"/>
      <w:pPr>
        <w:ind w:left="2880" w:hanging="360"/>
      </w:pPr>
      <w:rPr>
        <w:rFonts w:ascii="Symbol" w:hAnsi="Symbol"/>
        <w:color w:val="000000"/>
      </w:rPr>
    </w:lvl>
    <w:lvl w:ilvl="4" w:tplc="11CAE028">
      <w:start w:val="1"/>
      <w:numFmt w:val="bullet"/>
      <w:lvlText w:val="·"/>
      <w:lvlJc w:val="left"/>
      <w:pPr>
        <w:ind w:left="3600" w:hanging="360"/>
      </w:pPr>
      <w:rPr>
        <w:rFonts w:ascii="Symbol" w:hAnsi="Symbol"/>
        <w:color w:val="000000"/>
      </w:rPr>
    </w:lvl>
    <w:lvl w:ilvl="5" w:tplc="E35488A6">
      <w:start w:val="1"/>
      <w:numFmt w:val="bullet"/>
      <w:lvlText w:val="o"/>
      <w:lvlJc w:val="left"/>
      <w:pPr>
        <w:ind w:left="4320" w:hanging="360"/>
      </w:pPr>
      <w:rPr>
        <w:rFonts w:ascii="Symbol" w:hAnsi="Symbol"/>
        <w:color w:val="000000"/>
      </w:rPr>
    </w:lvl>
    <w:lvl w:ilvl="6" w:tplc="DD1E77D0">
      <w:start w:val="1"/>
      <w:numFmt w:val="bullet"/>
      <w:lvlText w:val="·"/>
      <w:lvlJc w:val="left"/>
      <w:pPr>
        <w:ind w:left="5040" w:hanging="360"/>
      </w:pPr>
      <w:rPr>
        <w:rFonts w:ascii="Symbol" w:hAnsi="Symbol"/>
        <w:color w:val="000000"/>
      </w:rPr>
    </w:lvl>
    <w:lvl w:ilvl="7" w:tplc="F374311A">
      <w:start w:val="1"/>
      <w:numFmt w:val="bullet"/>
      <w:lvlText w:val="o"/>
      <w:lvlJc w:val="left"/>
      <w:pPr>
        <w:ind w:left="5760" w:hanging="360"/>
      </w:pPr>
      <w:rPr>
        <w:rFonts w:ascii="Symbol" w:hAnsi="Symbol"/>
        <w:color w:val="000000"/>
      </w:rPr>
    </w:lvl>
    <w:lvl w:ilvl="8" w:tplc="1D6E8D22">
      <w:start w:val="1"/>
      <w:numFmt w:val="bullet"/>
      <w:lvlText w:val="·"/>
      <w:lvlJc w:val="left"/>
      <w:pPr>
        <w:ind w:left="6480" w:hanging="360"/>
      </w:pPr>
      <w:rPr>
        <w:rFonts w:ascii="Symbol" w:hAnsi="Symbol"/>
        <w:color w:val="000000"/>
      </w:rPr>
    </w:lvl>
  </w:abstractNum>
  <w:num w:numId="1" w16cid:durableId="1258637919">
    <w:abstractNumId w:val="0"/>
  </w:num>
  <w:num w:numId="2" w16cid:durableId="169326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63"/>
    <w:rsid w:val="001C08EE"/>
    <w:rsid w:val="004E5517"/>
    <w:rsid w:val="00705363"/>
    <w:rsid w:val="009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7834F"/>
  <w15:docId w15:val="{90885FFF-BBC2-4DAD-BBB4-77A0ABE1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3C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5">
    <w:name w:val="Style5"/>
    <w:uiPriority w:val="99"/>
    <w:rsid w:val="00B62F18"/>
    <w:pPr>
      <w:numPr>
        <w:numId w:val="1"/>
      </w:numPr>
    </w:pPr>
  </w:style>
  <w:style w:type="table" w:styleId="Grilledutableau">
    <w:name w:val="Table Grid"/>
    <w:basedOn w:val="TableauNormal"/>
    <w:uiPriority w:val="59"/>
    <w:rsid w:val="008F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AB7B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B7B9D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AB7B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B7B9D"/>
    <w:rPr>
      <w:rFonts w:ascii="Times New Roman" w:hAnsi="Times New Roman"/>
      <w:sz w:val="24"/>
    </w:rPr>
  </w:style>
  <w:style w:type="paragraph" w:customStyle="1" w:styleId="Normal0">
    <w:name w:val="Normal_0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Normal1">
    <w:name w:val="Normal_1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Normal00">
    <w:name w:val="Normal_0_0"/>
    <w:basedOn w:val="Normal2"/>
    <w:uiPriority w:val="99"/>
    <w:pPr>
      <w:spacing w:after="0" w:line="240" w:lineRule="auto"/>
    </w:pPr>
    <w:rPr>
      <w:rFonts w:ascii="Calibri" w:hAnsi="Calibri"/>
      <w:sz w:val="20"/>
      <w:szCs w:val="20"/>
    </w:rPr>
  </w:style>
  <w:style w:type="paragraph" w:customStyle="1" w:styleId="Normal2">
    <w:name w:val="Normal_2"/>
    <w:uiPriority w:val="99"/>
    <w:pPr>
      <w:autoSpaceDE w:val="0"/>
      <w:autoSpaceDN w:val="0"/>
      <w:adjustRightInd w:val="0"/>
    </w:pPr>
    <w:rPr>
      <w:color w:val="000000"/>
    </w:rPr>
  </w:style>
  <w:style w:type="paragraph" w:customStyle="1" w:styleId="Normal000">
    <w:name w:val="Normal_0_0_0"/>
    <w:basedOn w:val="Normal00"/>
    <w:uiPriority w:val="99"/>
    <w:rPr>
      <w:rFonts w:ascii="Times New Roman" w:hAnsi="Times New Roman"/>
    </w:rPr>
  </w:style>
  <w:style w:type="paragraph" w:customStyle="1" w:styleId="Normal3">
    <w:name w:val="Normal_3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Normal4">
    <w:name w:val="Normal_4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Normal20">
    <w:name w:val="Normal_20"/>
    <w:basedOn w:val="Normal5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5">
    <w:name w:val="Normal_5"/>
    <w:uiPriority w:val="99"/>
    <w:pPr>
      <w:autoSpaceDE w:val="0"/>
      <w:autoSpaceDN w:val="0"/>
      <w:adjustRightInd w:val="0"/>
    </w:pPr>
    <w:rPr>
      <w:color w:val="000000"/>
    </w:rPr>
  </w:style>
  <w:style w:type="paragraph" w:customStyle="1" w:styleId="Normal6">
    <w:name w:val="Normal_6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68AAC-AEDF-4191-B077-2629EB26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756</Words>
  <Characters>4003</Characters>
  <Application>Microsoft Office Word</Application>
  <DocSecurity>0</DocSecurity>
  <Lines>148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Patrickl</dc:creator>
  <cp:lastModifiedBy>Cathy  Poulin</cp:lastModifiedBy>
  <cp:revision>2</cp:revision>
  <dcterms:created xsi:type="dcterms:W3CDTF">2026-01-20T19:55:00Z</dcterms:created>
  <dcterms:modified xsi:type="dcterms:W3CDTF">2026-01-20T19:55:00Z</dcterms:modified>
</cp:coreProperties>
</file>